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Государственное бюджетное общеобразовательное учреждение города Москвы «Школа № 2072»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ДЕЛОВАЯ ИГРА «ЭКОНОМИЧЕСКОЕ ПРОИЗВОДСТВО»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spacing w:line="240" w:lineRule="auto"/>
        <w:ind/>
        <w:rPr>
          <w:rFonts w:ascii="Times New Roman" w:hAnsi="Times New Roman"/>
          <w:sz w:val="28"/>
        </w:rPr>
      </w:pPr>
    </w:p>
    <w:p w14:paraId="12000000">
      <w:pPr>
        <w:ind/>
        <w:jc w:val="right"/>
        <w:rPr>
          <w:rFonts w:ascii="Times New Roman" w:hAnsi="Times New Roman"/>
          <w:sz w:val="28"/>
        </w:rPr>
      </w:pPr>
    </w:p>
    <w:p w14:paraId="1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Катаева Т</w:t>
      </w:r>
      <w:r>
        <w:rPr>
          <w:rFonts w:ascii="Times New Roman" w:hAnsi="Times New Roman"/>
          <w:sz w:val="28"/>
        </w:rPr>
        <w:t xml:space="preserve">атьяна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ергеевна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учитель истории и обществознания</w:t>
      </w:r>
    </w:p>
    <w:p w14:paraId="14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15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16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17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1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</w:t>
      </w:r>
    </w:p>
    <w:p w14:paraId="1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sz w:val="28"/>
        </w:rPr>
        <w:t>сформировать представление обучающихся о процессах внутренней экономической деятельности государства и его сотрудничестве на мировом рынке.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научить планировать бюджет и  контролировать распределение денежных средств в зависимости от целей деятельности; закрепить представление о процессе производства; сформировать понимание устройства международного рынка и сотрудничества; определить составные элементы национального богатства; развить аналитическое мышление и коммуникативны способности участников.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Этапы реализации:</w:t>
      </w:r>
    </w:p>
    <w:p w14:paraId="1D000000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1.Начало игры. Формируются </w:t>
      </w:r>
      <w:r>
        <w:rPr>
          <w:rFonts w:ascii="Times New Roman" w:hAnsi="Times New Roman"/>
          <w:sz w:val="28"/>
        </w:rPr>
        <w:t>Правительства (</w:t>
      </w:r>
      <w:r>
        <w:rPr>
          <w:rFonts w:ascii="Times New Roman" w:hAnsi="Times New Roman"/>
          <w:sz w:val="28"/>
        </w:rPr>
        <w:t>команды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от 4 до 7 человек, где одна команда – это одно государство.</w:t>
      </w:r>
      <w:r>
        <w:rPr>
          <w:rFonts w:ascii="Times New Roman" w:hAnsi="Times New Roman"/>
          <w:sz w:val="28"/>
        </w:rPr>
        <w:t xml:space="preserve"> В состав Правительства могут входить: премьер-министр (</w:t>
      </w:r>
      <w:r>
        <w:rPr>
          <w:rFonts w:ascii="Times New Roman" w:hAnsi="Times New Roman"/>
          <w:sz w:val="28"/>
        </w:rPr>
        <w:t>возглавляет Правительство и координирует его деятельность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определяет экономическую и внешнеполитическую стратегии государства</w:t>
      </w:r>
      <w:r>
        <w:rPr>
          <w:rFonts w:ascii="Times New Roman" w:hAnsi="Times New Roman"/>
          <w:sz w:val="28"/>
        </w:rPr>
        <w:t>); м</w:t>
      </w:r>
      <w:r>
        <w:rPr>
          <w:rFonts w:ascii="Times New Roman" w:hAnsi="Times New Roman"/>
          <w:sz w:val="28"/>
        </w:rPr>
        <w:t>инистр финансов реализует финансовую политику государства</w:t>
      </w:r>
      <w:r>
        <w:rPr>
          <w:rFonts w:ascii="Times New Roman" w:hAnsi="Times New Roman"/>
          <w:sz w:val="28"/>
        </w:rPr>
        <w:t>; м</w:t>
      </w:r>
      <w:r>
        <w:rPr>
          <w:rFonts w:ascii="Times New Roman" w:hAnsi="Times New Roman"/>
          <w:sz w:val="28"/>
        </w:rPr>
        <w:t>инистр промышленности и производства отвечает за всё производство в госу</w:t>
      </w:r>
      <w:r>
        <w:rPr>
          <w:rFonts w:ascii="Times New Roman" w:hAnsi="Times New Roman"/>
          <w:sz w:val="28"/>
        </w:rPr>
        <w:t>дарстве;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остоянный представитель в Совете Безопасности представляет интересы госу</w:t>
      </w:r>
      <w:r>
        <w:rPr>
          <w:rFonts w:ascii="Times New Roman" w:hAnsi="Times New Roman"/>
          <w:sz w:val="28"/>
        </w:rPr>
        <w:t xml:space="preserve">дарства на международной арене. </w:t>
      </w:r>
    </w:p>
    <w:p w14:paraId="1E000000">
      <w:pPr>
        <w:spacing w:line="360" w:lineRule="auto"/>
        <w:ind w:firstLine="708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По жребию распределяются комплекты т</w:t>
      </w:r>
      <w:r>
        <w:rPr>
          <w:rFonts w:ascii="Times New Roman" w:hAnsi="Times New Roman"/>
          <w:sz w:val="28"/>
        </w:rPr>
        <w:t>ехнологических карт с различными производственными специ</w:t>
      </w:r>
      <w:r>
        <w:rPr>
          <w:rFonts w:ascii="Times New Roman" w:hAnsi="Times New Roman"/>
          <w:sz w:val="28"/>
        </w:rPr>
        <w:t>ализациями (также могут быть ра</w:t>
      </w:r>
      <w:r>
        <w:rPr>
          <w:rFonts w:ascii="Times New Roman" w:hAnsi="Times New Roman"/>
          <w:sz w:val="28"/>
        </w:rPr>
        <w:t>зыграны значения стартов</w:t>
      </w:r>
      <w:r>
        <w:rPr>
          <w:rFonts w:ascii="Times New Roman" w:hAnsi="Times New Roman"/>
          <w:sz w:val="28"/>
        </w:rPr>
        <w:t xml:space="preserve">ых экономических показателей). </w:t>
      </w:r>
    </w:p>
    <w:p w14:paraId="1F000000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команде распределяются роли внутри Правительства</w:t>
      </w:r>
    </w:p>
    <w:p w14:paraId="2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Первоначальное экономическое состояние государства.</w:t>
      </w:r>
      <w:r>
        <w:t xml:space="preserve"> </w:t>
      </w:r>
      <w:r>
        <w:rPr>
          <w:rFonts w:ascii="Times New Roman" w:hAnsi="Times New Roman"/>
          <w:sz w:val="28"/>
        </w:rPr>
        <w:t>Каждое государство в начале своей деятельности располагает определенными экономическими ресурсами</w:t>
      </w:r>
      <w:r>
        <w:rPr>
          <w:rFonts w:ascii="Times New Roman" w:hAnsi="Times New Roman"/>
          <w:sz w:val="28"/>
        </w:rPr>
        <w:t xml:space="preserve">. </w:t>
      </w:r>
    </w:p>
    <w:p w14:paraId="2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ресурсы. </w:t>
      </w:r>
      <w:r>
        <w:rPr>
          <w:rFonts w:ascii="Times New Roman" w:hAnsi="Times New Roman"/>
          <w:sz w:val="28"/>
        </w:rPr>
        <w:t xml:space="preserve">В каждом государстве проживает </w:t>
      </w:r>
      <w:r>
        <w:rPr>
          <w:rFonts w:ascii="Times New Roman" w:hAnsi="Times New Roman"/>
          <w:sz w:val="28"/>
        </w:rPr>
        <w:t>150  млн</w:t>
      </w:r>
      <w:r>
        <w:rPr>
          <w:rFonts w:ascii="Times New Roman" w:hAnsi="Times New Roman"/>
          <w:sz w:val="28"/>
        </w:rPr>
        <w:t xml:space="preserve"> человек, из них экономически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ным населением являются 100 мл</w:t>
      </w:r>
      <w:r>
        <w:rPr>
          <w:rFonts w:ascii="Times New Roman" w:hAnsi="Times New Roman"/>
          <w:sz w:val="28"/>
        </w:rPr>
        <w:t xml:space="preserve">. </w:t>
      </w:r>
    </w:p>
    <w:tbl>
      <w:tblPr>
        <w:tblStyle w:val="Style_1"/>
        <w:tblLayout w:type="fixed"/>
      </w:tblPr>
      <w:tblGrid>
        <w:gridCol w:w="7225"/>
        <w:gridCol w:w="2120"/>
      </w:tblGrid>
      <w:tr>
        <w:tc>
          <w:tcPr>
            <w:tcW w:type="dxa" w:w="7225"/>
          </w:tcPr>
          <w:p w14:paraId="22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</w:p>
        </w:tc>
        <w:tc>
          <w:tcPr>
            <w:tcW w:type="dxa" w:w="2120"/>
          </w:tcPr>
          <w:p w14:paraId="23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7225"/>
          </w:tcPr>
          <w:p w14:paraId="24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Рабочие </w:t>
            </w:r>
          </w:p>
        </w:tc>
        <w:tc>
          <w:tcPr>
            <w:tcW w:type="dxa" w:w="2120"/>
          </w:tcPr>
          <w:p w14:paraId="25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20-40</w:t>
            </w:r>
            <w:r>
              <w:rPr>
                <w:rFonts w:ascii="Times New Roman" w:hAnsi="Times New Roman"/>
                <w:sz w:val="24"/>
              </w:rPr>
              <w:t xml:space="preserve"> млн</w:t>
            </w:r>
          </w:p>
        </w:tc>
      </w:tr>
      <w:tr>
        <w:tc>
          <w:tcPr>
            <w:tcW w:type="dxa" w:w="7225"/>
          </w:tcPr>
          <w:p w14:paraId="26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Фермеры (сельскохозяйственные работники)</w:t>
            </w:r>
          </w:p>
        </w:tc>
        <w:tc>
          <w:tcPr>
            <w:tcW w:type="dxa" w:w="2120"/>
          </w:tcPr>
          <w:p w14:paraId="27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млн</w:t>
            </w:r>
          </w:p>
        </w:tc>
      </w:tr>
      <w:tr>
        <w:tc>
          <w:tcPr>
            <w:tcW w:type="dxa" w:w="7225"/>
          </w:tcPr>
          <w:p w14:paraId="28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Интеллигенция</w:t>
            </w:r>
            <w:r>
              <w:rPr>
                <w:rFonts w:ascii="Times New Roman" w:hAnsi="Times New Roman"/>
                <w:sz w:val="24"/>
              </w:rPr>
              <w:t xml:space="preserve"> (ученые и преподаватели)</w:t>
            </w:r>
          </w:p>
        </w:tc>
        <w:tc>
          <w:tcPr>
            <w:tcW w:type="dxa" w:w="2120"/>
          </w:tcPr>
          <w:p w14:paraId="29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</w:t>
            </w:r>
            <w:r>
              <w:rPr>
                <w:rFonts w:ascii="Times New Roman" w:hAnsi="Times New Roman"/>
                <w:sz w:val="24"/>
              </w:rPr>
              <w:t xml:space="preserve"> млн</w:t>
            </w:r>
          </w:p>
        </w:tc>
      </w:tr>
      <w:tr>
        <w:tc>
          <w:tcPr>
            <w:tcW w:type="dxa" w:w="7225"/>
          </w:tcPr>
          <w:p w14:paraId="2A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Служащие </w:t>
            </w:r>
            <w:r>
              <w:rPr>
                <w:rFonts w:ascii="Times New Roman" w:hAnsi="Times New Roman"/>
                <w:sz w:val="24"/>
              </w:rPr>
              <w:t>гос.учреждений</w:t>
            </w:r>
            <w:r>
              <w:rPr>
                <w:rFonts w:ascii="Times New Roman" w:hAnsi="Times New Roman"/>
                <w:sz w:val="24"/>
              </w:rPr>
              <w:t xml:space="preserve"> и производственных предприятий </w:t>
            </w:r>
          </w:p>
        </w:tc>
        <w:tc>
          <w:tcPr>
            <w:tcW w:type="dxa" w:w="2120"/>
          </w:tcPr>
          <w:p w14:paraId="2B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</w:t>
            </w:r>
            <w:r>
              <w:rPr>
                <w:rFonts w:ascii="Times New Roman" w:hAnsi="Times New Roman"/>
                <w:sz w:val="24"/>
              </w:rPr>
              <w:t xml:space="preserve"> млн</w:t>
            </w:r>
          </w:p>
        </w:tc>
      </w:tr>
      <w:tr>
        <w:tc>
          <w:tcPr>
            <w:tcW w:type="dxa" w:w="7225"/>
          </w:tcPr>
          <w:p w14:paraId="2C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Медицинские работники</w:t>
            </w:r>
          </w:p>
        </w:tc>
        <w:tc>
          <w:tcPr>
            <w:tcW w:type="dxa" w:w="2120"/>
          </w:tcPr>
          <w:p w14:paraId="2D00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млн</w:t>
            </w:r>
          </w:p>
        </w:tc>
      </w:tr>
    </w:tbl>
    <w:p w14:paraId="2E000000">
      <w:pPr>
        <w:spacing w:line="360" w:lineRule="auto"/>
        <w:ind/>
      </w:pPr>
      <w:r>
        <w:rPr>
          <w:rFonts w:ascii="Times New Roman" w:hAnsi="Times New Roman"/>
          <w:sz w:val="28"/>
        </w:rPr>
        <w:t xml:space="preserve">Остальные </w:t>
      </w:r>
      <w:r>
        <w:rPr>
          <w:rFonts w:ascii="Times New Roman" w:hAnsi="Times New Roman"/>
          <w:sz w:val="28"/>
        </w:rPr>
        <w:t>50  млн</w:t>
      </w:r>
      <w:r>
        <w:rPr>
          <w:rFonts w:ascii="Times New Roman" w:hAnsi="Times New Roman"/>
          <w:sz w:val="28"/>
        </w:rPr>
        <w:t xml:space="preserve"> человек являются нетрудоспособным населением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ресурсы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Каждое государство в самом начале игры имеет территорию в 100 000 км2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распоряжении государства находится 35 000 км2 пригодной территории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ервоначальный капитал каждого государства составляет 2 600 БАР</w:t>
      </w:r>
      <w:r>
        <w:rPr>
          <w:rFonts w:ascii="Times New Roman" w:hAnsi="Times New Roman"/>
          <w:sz w:val="28"/>
        </w:rPr>
        <w:t xml:space="preserve"> (единая международная валюта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>Физический</w:t>
      </w:r>
      <w:r>
        <w:rPr>
          <w:rFonts w:ascii="Times New Roman" w:hAnsi="Times New Roman"/>
          <w:sz w:val="28"/>
        </w:rPr>
        <w:t xml:space="preserve"> капитал представлен двумя видами ресурсов: производственные здания и промышленное оборудование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Материальные ресурсы – сыр</w:t>
      </w:r>
      <w:r>
        <w:rPr>
          <w:rFonts w:ascii="Times New Roman" w:hAnsi="Times New Roman"/>
          <w:sz w:val="28"/>
        </w:rPr>
        <w:t>ье и энергия фигурируют как один объединенный ресурс, измеряемый в «мегатоннах» (</w:t>
      </w:r>
      <w:r>
        <w:rPr>
          <w:rFonts w:ascii="Times New Roman" w:hAnsi="Times New Roman"/>
          <w:sz w:val="28"/>
        </w:rPr>
        <w:t>мгт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Каждое государство имеет определенные запасы продовольствия, которые измеряются в «килотоннах» (</w:t>
      </w:r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</w:rPr>
        <w:t>). Р</w:t>
      </w:r>
      <w:r>
        <w:rPr>
          <w:rFonts w:ascii="Times New Roman" w:hAnsi="Times New Roman"/>
          <w:sz w:val="28"/>
        </w:rPr>
        <w:t>есурс</w:t>
      </w:r>
      <w:r>
        <w:rPr>
          <w:rFonts w:ascii="Times New Roman" w:hAnsi="Times New Roman"/>
          <w:sz w:val="28"/>
        </w:rPr>
        <w:t xml:space="preserve"> технологий</w:t>
      </w:r>
      <w:r>
        <w:rPr>
          <w:rFonts w:ascii="Times New Roman" w:hAnsi="Times New Roman"/>
          <w:sz w:val="28"/>
        </w:rPr>
        <w:t xml:space="preserve"> измеряется условными единицами — «разработками».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Инфраструктура, включающая </w:t>
      </w:r>
      <w:r>
        <w:rPr>
          <w:rFonts w:ascii="Times New Roman" w:hAnsi="Times New Roman"/>
          <w:sz w:val="28"/>
        </w:rPr>
        <w:t>в  себя</w:t>
      </w:r>
      <w:r>
        <w:rPr>
          <w:rFonts w:ascii="Times New Roman" w:hAnsi="Times New Roman"/>
          <w:sz w:val="28"/>
        </w:rPr>
        <w:t xml:space="preserve"> транспорт, связь, дороги, порты, склады, и т.п. измеряется с помощью условных единиц — «подвижных составов».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Жилой фонд учитывается в «микрорайонах».</w:t>
      </w:r>
      <w:r>
        <w:t xml:space="preserve"> </w:t>
      </w:r>
      <w:r>
        <w:rPr>
          <w:rFonts w:ascii="Times New Roman" w:hAnsi="Times New Roman"/>
          <w:sz w:val="28"/>
        </w:rPr>
        <w:t>Образование как</w:t>
      </w:r>
      <w:r>
        <w:rPr>
          <w:rFonts w:ascii="Times New Roman" w:hAnsi="Times New Roman"/>
          <w:sz w:val="28"/>
        </w:rPr>
        <w:t xml:space="preserve"> ресурс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измеряется в «учебных заведениях»</w:t>
      </w:r>
      <w:r>
        <w:rPr>
          <w:rFonts w:ascii="Times New Roman" w:hAnsi="Times New Roman"/>
          <w:sz w:val="28"/>
        </w:rPr>
        <w:t>. У</w:t>
      </w:r>
      <w:r>
        <w:rPr>
          <w:rFonts w:ascii="Times New Roman" w:hAnsi="Times New Roman"/>
          <w:sz w:val="28"/>
        </w:rPr>
        <w:t>чреждения бытовых услуг</w:t>
      </w:r>
      <w:r>
        <w:rPr>
          <w:rFonts w:ascii="Times New Roman" w:hAnsi="Times New Roman"/>
          <w:sz w:val="28"/>
        </w:rPr>
        <w:t xml:space="preserve"> и учреждений здравоохранения для обеспечения качественного уровня жизни.</w:t>
      </w:r>
    </w:p>
    <w:p w14:paraId="3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3.Производственная специализация.</w:t>
      </w:r>
      <w:r>
        <w:t xml:space="preserve"> </w:t>
      </w:r>
      <w:r>
        <w:rPr>
          <w:rFonts w:ascii="Times New Roman" w:hAnsi="Times New Roman"/>
          <w:sz w:val="28"/>
        </w:rPr>
        <w:t>Возможности по производству ресурсов распределены в мире неравномерно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рамках игры</w:t>
      </w:r>
      <w:r>
        <w:rPr>
          <w:rFonts w:ascii="Times New Roman" w:hAnsi="Times New Roman"/>
          <w:sz w:val="28"/>
        </w:rPr>
        <w:t xml:space="preserve"> существуют определенные производственные специализации</w:t>
      </w:r>
      <w:r>
        <w:rPr>
          <w:rFonts w:ascii="Times New Roman" w:hAnsi="Times New Roman"/>
          <w:sz w:val="28"/>
        </w:rPr>
        <w:t xml:space="preserve">: зеленую (очень </w:t>
      </w:r>
      <w:r>
        <w:rPr>
          <w:rFonts w:ascii="Times New Roman" w:hAnsi="Times New Roman"/>
          <w:sz w:val="28"/>
        </w:rPr>
        <w:t>эффективное производство); белую (производство с нормальной доходностью) и красную (неэффективное производство, граничащее с убыточностью)</w:t>
      </w:r>
      <w:r>
        <w:rPr>
          <w:rFonts w:ascii="Times New Roman" w:hAnsi="Times New Roman"/>
          <w:sz w:val="28"/>
        </w:rPr>
        <w:t xml:space="preserve">. </w:t>
      </w:r>
    </w:p>
    <w:p w14:paraId="3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Первоначальные мировые цены.</w:t>
      </w:r>
      <w:r>
        <w:t xml:space="preserve">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артовое национальное богатство каждого государства в денежном эквиваленте составляет 12125 БАР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Международные органы. </w:t>
      </w:r>
      <w:r>
        <w:rPr>
          <w:rFonts w:ascii="Times New Roman" w:hAnsi="Times New Roman"/>
          <w:sz w:val="28"/>
        </w:rPr>
        <w:t>Международный Контрольный Центр (МКЦ)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МКЦ регистрирует операции, связанные с изменением количества ресурсов — производство, преобразование территории, и </w:t>
      </w:r>
      <w:r>
        <w:rPr>
          <w:rFonts w:ascii="Times New Roman" w:hAnsi="Times New Roman"/>
          <w:sz w:val="28"/>
        </w:rPr>
        <w:t>т.д.</w:t>
      </w:r>
      <w:r>
        <w:rPr>
          <w:rFonts w:ascii="Times New Roman" w:hAnsi="Times New Roman"/>
          <w:sz w:val="28"/>
        </w:rPr>
        <w:t xml:space="preserve"> Сотрудники МКЦ проверяют расчеты участников и консультируют их при необходимости.</w:t>
      </w:r>
    </w:p>
    <w:p w14:paraId="3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Банк Развития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Банк регистрирует все валютные операции, а также принимает вклады и выдает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кредиты государствам. Сотрудники Банка также проверяют расчеты команд и дают необходимые консультации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6.Подготовка к процессу производства. </w:t>
      </w:r>
      <w:r>
        <w:rPr>
          <w:rStyle w:val="Style_2_ch"/>
          <w:rFonts w:ascii="Times New Roman" w:hAnsi="Times New Roman"/>
          <w:sz w:val="28"/>
        </w:rPr>
        <w:t xml:space="preserve">На первом заседании Правительства каждый сотрудник оформляет деловую документацию подконтрольных ему или ей ведомств и в первую очередь вносит во все документы название своего государства (определяется самостоятельно). </w:t>
      </w:r>
      <w:r>
        <w:rPr>
          <w:rStyle w:val="Style_2_ch"/>
          <w:rFonts w:ascii="Times New Roman" w:hAnsi="Times New Roman"/>
          <w:sz w:val="28"/>
        </w:rPr>
        <w:t>Министр промышленности и производства заводит отдельную «Ведомость учета материальных ценностей̆» на каждый экономический ресурс. Для этого в выделенное поле ведомости записывается название ресурса, а в графу «начальное количество» — его количество согласно полученным стартовым показателям.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7"/>
        <w:gridCol w:w="1785"/>
        <w:gridCol w:w="1937"/>
        <w:gridCol w:w="1304"/>
        <w:gridCol w:w="1216"/>
      </w:tblGrid>
      <w:tr>
        <w:trPr>
          <w:trHeight w:hRule="atLeast" w:val="386"/>
        </w:trPr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Произведено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Приобретено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Израсходовано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Продано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Остаток</w:t>
            </w:r>
          </w:p>
        </w:tc>
      </w:tr>
      <w:tr>
        <w:trPr>
          <w:trHeight w:hRule="atLeast" w:val="463"/>
        </w:trPr>
        <w:tc>
          <w:tcPr>
            <w:tcW w:type="dxa" w:w="67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Начальное количество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</w:t>
            </w:r>
          </w:p>
        </w:tc>
      </w:tr>
      <w:tr>
        <w:trPr>
          <w:trHeight w:hRule="atLeast" w:val="559"/>
        </w:trPr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</w:tbl>
    <w:p w14:paraId="42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Все ведомости с указанными начальными показателями заверяют в МКЦ. Только после этого можно приступать к операциям с ресурсами.</w:t>
      </w:r>
    </w:p>
    <w:p w14:paraId="4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Производст</w:t>
      </w:r>
      <w:r>
        <w:rPr>
          <w:rFonts w:ascii="Times New Roman" w:hAnsi="Times New Roman"/>
          <w:sz w:val="28"/>
        </w:rPr>
        <w:t>венные циклы.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Выпуск всей продукции осуществляется в соответствии с технологическими картами — документами, содержащими информацию об эффективности, себестоимости и технологических особенностях выпуска каждого вида продукта.</w:t>
      </w:r>
    </w:p>
    <w:p w14:paraId="4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карта №1 «Производство зданий и оборудования»: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6"/>
        <w:gridCol w:w="936"/>
        <w:gridCol w:w="936"/>
        <w:gridCol w:w="936"/>
        <w:gridCol w:w="909"/>
        <w:gridCol w:w="885"/>
        <w:gridCol w:w="936"/>
        <w:gridCol w:w="913"/>
        <w:gridCol w:w="936"/>
        <w:gridCol w:w="1036"/>
      </w:tblGrid>
      <w:tr>
        <w:trPr>
          <w:trHeight w:hRule="atLeast" w:val="360"/>
        </w:trP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технологии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Рабочие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Тер-ия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Деньги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Здания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Сырье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Технологии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Транспорт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Образование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Выпуск по специализации</w:t>
            </w:r>
          </w:p>
        </w:tc>
      </w:tr>
      <w:tr>
        <w:trPr>
          <w:trHeight w:hRule="atLeast" w:val="360"/>
        </w:trP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</w:t>
            </w:r>
          </w:p>
        </w:tc>
      </w:tr>
      <w:tr>
        <w:trPr>
          <w:trHeight w:hRule="atLeast" w:val="465"/>
        </w:trP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</w:t>
            </w:r>
          </w:p>
        </w:tc>
      </w:tr>
      <w:tr>
        <w:trPr>
          <w:trHeight w:hRule="atLeast" w:val="506"/>
        </w:trPr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620</w:t>
            </w:r>
          </w:p>
        </w:tc>
      </w:tr>
    </w:tbl>
    <w:p w14:paraId="6D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</w:t>
      </w:r>
      <w:r>
        <w:rPr>
          <w:rStyle w:val="Style_2_ch"/>
          <w:rFonts w:ascii="Times New Roman" w:hAnsi="Times New Roman"/>
          <w:sz w:val="28"/>
        </w:rPr>
        <w:t>адач</w:t>
      </w:r>
      <w:r>
        <w:rPr>
          <w:rStyle w:val="Style_2_ch"/>
          <w:rFonts w:ascii="Times New Roman" w:hAnsi="Times New Roman"/>
          <w:sz w:val="28"/>
        </w:rPr>
        <w:t>а технологической карты — ответить на вопрос «во что нам обойдется производство ресурса?» или «какова себестоимость этого производства?».</w:t>
      </w:r>
    </w:p>
    <w:p w14:paraId="6E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Прибыльность производства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конкретного ресурса зависит от двух факторов — специализации вашего государства и выбранной технологии.</w:t>
      </w:r>
    </w:p>
    <w:p w14:paraId="6F000000">
      <w:pPr>
        <w:spacing w:after="134" w:before="134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Выпуск продукции.</w:t>
      </w:r>
    </w:p>
    <w:p w14:paraId="70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Алгоритм действий при производстве: п</w:t>
      </w:r>
      <w:r>
        <w:rPr>
          <w:rStyle w:val="Style_2_ch"/>
          <w:rFonts w:ascii="Times New Roman" w:hAnsi="Times New Roman"/>
          <w:sz w:val="28"/>
        </w:rPr>
        <w:t>роверка наличия трудовых ресурсов; п</w:t>
      </w:r>
      <w:r>
        <w:rPr>
          <w:rStyle w:val="Style_2_ch"/>
          <w:rFonts w:ascii="Times New Roman" w:hAnsi="Times New Roman"/>
          <w:sz w:val="28"/>
        </w:rPr>
        <w:t>роверка наличия незанятой территории; п</w:t>
      </w:r>
      <w:r>
        <w:rPr>
          <w:rStyle w:val="Style_2_ch"/>
          <w:rFonts w:ascii="Times New Roman" w:hAnsi="Times New Roman"/>
          <w:sz w:val="28"/>
        </w:rPr>
        <w:t>роверка наличия денежных средств; п</w:t>
      </w:r>
      <w:r>
        <w:rPr>
          <w:rStyle w:val="Style_2_ch"/>
          <w:rFonts w:ascii="Times New Roman" w:hAnsi="Times New Roman"/>
          <w:sz w:val="28"/>
        </w:rPr>
        <w:t>роверка наличия остальных ресурсов, указанных в технологической карте; з</w:t>
      </w:r>
      <w:r>
        <w:rPr>
          <w:rStyle w:val="Style_2_ch"/>
          <w:rFonts w:ascii="Times New Roman" w:hAnsi="Times New Roman"/>
          <w:sz w:val="28"/>
        </w:rPr>
        <w:t>анесение факта производства в ведомость учета производимого ресурса; ре</w:t>
      </w:r>
      <w:r>
        <w:rPr>
          <w:rStyle w:val="Style_2_ch"/>
          <w:rFonts w:ascii="Times New Roman" w:hAnsi="Times New Roman"/>
          <w:sz w:val="28"/>
        </w:rPr>
        <w:t>гистрация производственного цикла в МКЦ.</w:t>
      </w:r>
    </w:p>
    <w:p w14:paraId="71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Фрагмент расчетного счет</w:t>
      </w:r>
      <w:r>
        <w:rPr>
          <w:rStyle w:val="Style_2_ch"/>
          <w:rFonts w:ascii="Times New Roman" w:hAnsi="Times New Roman"/>
          <w:sz w:val="28"/>
        </w:rPr>
        <w:t xml:space="preserve"> (в</w:t>
      </w:r>
      <w:r>
        <w:rPr>
          <w:rStyle w:val="Style_2_ch"/>
          <w:rFonts w:ascii="Times New Roman" w:hAnsi="Times New Roman"/>
          <w:sz w:val="28"/>
        </w:rPr>
        <w:t>се расчеты в игре являются безналичными)</w:t>
      </w:r>
      <w:r>
        <w:rPr>
          <w:rStyle w:val="Style_2_ch"/>
          <w:rFonts w:ascii="Times New Roman" w:hAnsi="Times New Roman"/>
          <w:sz w:val="28"/>
        </w:rPr>
        <w:t>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1"/>
        <w:gridCol w:w="1559"/>
        <w:gridCol w:w="1559"/>
        <w:gridCol w:w="1559"/>
        <w:gridCol w:w="1559"/>
        <w:gridCol w:w="1559"/>
      </w:tblGrid>
      <w:tr>
        <w:trPr>
          <w:trHeight w:hRule="atLeast" w:val="360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Приход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</w:t>
            </w:r>
          </w:p>
        </w:tc>
      </w:tr>
      <w:tr>
        <w:trPr>
          <w:trHeight w:hRule="atLeast" w:val="360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начальный капитал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</w:t>
            </w:r>
          </w:p>
        </w:tc>
      </w:tr>
      <w:tr>
        <w:trPr>
          <w:trHeight w:hRule="atLeast" w:val="360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зданий «А»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2590</w:t>
            </w:r>
          </w:p>
        </w:tc>
      </w:tr>
    </w:tbl>
    <w:p w14:paraId="88000000">
      <w:pPr>
        <w:spacing w:after="134" w:before="134"/>
        <w:ind w:firstLine="0" w:left="0" w:right="0"/>
        <w:jc w:val="both"/>
      </w:pPr>
      <w:r>
        <w:rPr>
          <w:rStyle w:val="Style_2_ch"/>
          <w:rFonts w:ascii="Times New Roman" w:hAnsi="Times New Roman"/>
          <w:sz w:val="28"/>
        </w:rPr>
        <w:t>Далее делаются записи в ведомостях остальных пяти видов ресурсов, которые указаны в технологической карте.</w:t>
      </w:r>
    </w:p>
    <w:p w14:paraId="89000000">
      <w:pPr>
        <w:spacing w:after="134" w:before="134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После указания во всех ведомостях количества расходуемых ресурсов, наконец, можно зафиксировать производственный цикл.</w:t>
      </w:r>
    </w:p>
    <w:p w14:paraId="8A000000">
      <w:pPr>
        <w:spacing w:after="134" w:before="134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6"/>
        </w:rPr>
        <w:t xml:space="preserve"> 9</w:t>
      </w:r>
      <w:r>
        <w:rPr>
          <w:rFonts w:ascii="Times New Roman" w:hAnsi="Times New Roman"/>
          <w:sz w:val="28"/>
        </w:rPr>
        <w:t xml:space="preserve">.Итоги экономической деятельности </w:t>
      </w:r>
    </w:p>
    <w:p w14:paraId="8B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Итоги каждого экономического года определяются с помощью обобщающего экономического показателя — национального богатства. Этот показатель измеряется в денежных единицах. Он отражает объем имеющихся в стране экономических ресурсов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мировых ценах на момент закрытия торгов экономического года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Национальное богатство измеряется как в абсолютном значении (простая сумма всего имеющегося в государстве в денежном выражении), так и в расчете на душу населения (сумма всего имеющегося в денежном выражении делится на количество всех жителей данного государства; этот расчет проводится только в последнем экономическом году).</w:t>
      </w:r>
    </w:p>
    <w:p w14:paraId="8C000000">
      <w:pPr>
        <w:spacing w:after="134" w:before="134" w:line="360" w:lineRule="auto"/>
        <w:ind w:firstLine="0" w:left="0" w:right="0"/>
      </w:pPr>
      <w:r>
        <w:rPr>
          <w:rFonts w:ascii="Times New Roman" w:hAnsi="Times New Roman"/>
          <w:sz w:val="28"/>
        </w:rPr>
        <w:t>10. Определение победителя игры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Победителем в экономической игре становится государство, которое имеет наибольшее национальное богатство на момент полного окончания игры, т.е. после уплаты всех социальных программ, выполнения условий международных соглашений, подсчета результатов с изменением количества ресурсов и денежных средств.</w:t>
      </w:r>
      <w:r>
        <w:rPr>
          <w:rFonts w:ascii="Times New Roman" w:hAnsi="Times New Roman"/>
          <w:sz w:val="28"/>
        </w:rPr>
        <w:t xml:space="preserve"> </w:t>
      </w:r>
    </w:p>
    <w:p w14:paraId="8D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Методы реализации:</w:t>
      </w:r>
      <w:r>
        <w:rPr>
          <w:rFonts w:ascii="Times New Roman" w:hAnsi="Times New Roman"/>
          <w:sz w:val="28"/>
        </w:rPr>
        <w:t xml:space="preserve"> данная дел</w:t>
      </w:r>
      <w:r>
        <w:rPr>
          <w:rStyle w:val="Style_2_ch"/>
          <w:rFonts w:ascii="Times New Roman" w:hAnsi="Times New Roman"/>
          <w:sz w:val="28"/>
        </w:rPr>
        <w:t>овая экономическая игра может применяться для обучения, диагностики индивидуальных особенностей их участников, организации процесса принятия решений, в исследовательских целях.  Можно обратить внимание на то, что данный метод синтезирует в себе преимущества экспериментального, аналитического и экспертного методов.</w:t>
      </w:r>
      <w:r>
        <w:rPr>
          <w:rFonts w:ascii="Times New Roman" w:hAnsi="Times New Roman"/>
          <w:sz w:val="28"/>
        </w:rPr>
        <w:t xml:space="preserve"> При этом игровая технология не подменяет традиционные методы обучения, а рационально их дополняет.</w:t>
      </w:r>
      <w:r>
        <w:rPr>
          <w:rStyle w:val="Style_2_ch"/>
          <w:rFonts w:ascii="Times New Roman" w:hAnsi="Times New Roman"/>
          <w:sz w:val="28"/>
        </w:rPr>
        <w:t xml:space="preserve"> Такая </w:t>
      </w:r>
      <w:r>
        <w:rPr>
          <w:rStyle w:val="Style_2_ch"/>
          <w:rFonts w:ascii="Times New Roman" w:hAnsi="Times New Roman"/>
          <w:sz w:val="28"/>
        </w:rPr>
        <w:t>форма организации учебного процесса снимает противоречие между абстрактным характером учебного предмета и реальным характером профессиональной деятельности, системным характером используемых знаний и их принадлежности разным дисциплинам.</w:t>
      </w:r>
    </w:p>
    <w:p w14:paraId="8E000000">
      <w:pPr>
        <w:spacing w:after="134" w:before="134" w:line="36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 оборудования: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игры вся деятельность государств происходит на бумаге. </w:t>
      </w: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sz w:val="28"/>
        </w:rPr>
        <w:t>документы: г</w:t>
      </w:r>
      <w:r>
        <w:rPr>
          <w:rFonts w:ascii="Times New Roman" w:hAnsi="Times New Roman"/>
          <w:sz w:val="28"/>
        </w:rPr>
        <w:t>еографическая карта для учета используемой в производстве территории; д</w:t>
      </w:r>
      <w:r>
        <w:rPr>
          <w:rFonts w:ascii="Times New Roman" w:hAnsi="Times New Roman"/>
          <w:sz w:val="28"/>
        </w:rPr>
        <w:t>емографический отчет для фиксации занятости граждан на производстве; р</w:t>
      </w:r>
      <w:r>
        <w:rPr>
          <w:rFonts w:ascii="Times New Roman" w:hAnsi="Times New Roman"/>
          <w:sz w:val="28"/>
        </w:rPr>
        <w:t>асчетный счет государства,  в нем ведется учет расходов и доходов денежных средств страны (за эту ведомость отвечает Министр финансов); в</w:t>
      </w:r>
      <w:r>
        <w:rPr>
          <w:rFonts w:ascii="Times New Roman" w:hAnsi="Times New Roman"/>
          <w:sz w:val="28"/>
        </w:rPr>
        <w:t>едомости учета материальных ценностей,в которых фиксируются показатели всех остальных ресурсов (за эту ведомость отвечает Министр промышленности и производства);  н</w:t>
      </w:r>
      <w:r>
        <w:rPr>
          <w:rFonts w:ascii="Times New Roman" w:hAnsi="Times New Roman"/>
          <w:sz w:val="28"/>
        </w:rPr>
        <w:t>ациональное богатство, где указывается баланс ресурсов к концу года</w:t>
      </w:r>
      <w:r>
        <w:rPr>
          <w:rFonts w:ascii="Times New Roman" w:hAnsi="Times New Roman"/>
          <w:sz w:val="28"/>
        </w:rPr>
        <w:t>.</w:t>
      </w:r>
    </w:p>
    <w:p w14:paraId="8F000000">
      <w:pPr>
        <w:spacing w:line="36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Описание поставленных экспериментов, проведенных исследований или опросов: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во время разработки данной игры среди обучающихся были проведены опросы о понимании внутриэкономических процессов государства для определения их изначальных знаний. Опрос состоял из экономических терминов и ситуаций производственной детальности, которым нужно было жать оценку с точки зрения верности решения. Результат опроса помогли в определении содержания технологических карт и понимании необходимости проведении дополнительного занятия для разъяснения обучающимся всех тонкостей и особенностей предстоящей игры. </w:t>
      </w:r>
    </w:p>
    <w:p w14:paraId="90000000">
      <w:pPr>
        <w:spacing w:line="36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Было проведено несколько апробирующих занятий с применением данной технологии на разных этапах урока, что позволило прийти к выводу об универсальности методики, так как отмечены положительные результаты.</w:t>
      </w:r>
    </w:p>
    <w:p w14:paraId="91000000">
      <w:pPr>
        <w:spacing w:line="36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Полученные результаты:</w:t>
      </w:r>
      <w:r>
        <w:rPr>
          <w:rStyle w:val="Style_2_ch"/>
          <w:rFonts w:ascii="Times New Roman" w:hAnsi="Times New Roman"/>
          <w:sz w:val="28"/>
        </w:rPr>
        <w:t xml:space="preserve"> опыт проведения деловой игры показал, что в ее процессе происходит более интенсивный обмен идеями, информацией, она побуждает участников к творческому процессу. Результаты последующих за игрой тестовых работ, решение олимпиадных заданий по экономике связанных с данной темой были положительными. Прожив практический опыт в деловой игре у обучающихся сложилось четкое понимание о процессе экономической детальности государства. </w:t>
      </w:r>
    </w:p>
    <w:p w14:paraId="92000000">
      <w:pPr>
        <w:spacing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Практическое значение:</w:t>
      </w:r>
      <w:r>
        <w:rPr>
          <w:rStyle w:val="Style_2_ch"/>
          <w:rFonts w:ascii="Times New Roman" w:hAnsi="Times New Roman"/>
          <w:sz w:val="28"/>
        </w:rPr>
        <w:t xml:space="preserve"> данная методика будет полезна учителям обществознания и эк</w:t>
      </w:r>
      <w:r>
        <w:rPr>
          <w:rStyle w:val="Style_2_ch"/>
          <w:rFonts w:ascii="Times New Roman" w:hAnsi="Times New Roman"/>
          <w:sz w:val="28"/>
        </w:rPr>
        <w:t>ономики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Разработка позволяет применять ее не только в классическом уроке на различных этапах урока в зависимости от его целей, но и во внеурочной деятельности для более глубокого и детального погружения в процессы экономического сотрудничества и производства с обучающимися профильных классов.</w:t>
      </w:r>
    </w:p>
    <w:p w14:paraId="93000000">
      <w:pPr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Перспективы дальнейшего развития:</w:t>
      </w:r>
      <w:r>
        <w:rPr>
          <w:rFonts w:ascii="Times New Roman" w:hAnsi="Times New Roman"/>
          <w:b w:val="0"/>
          <w:sz w:val="28"/>
        </w:rPr>
        <w:t xml:space="preserve"> особенность данной игры заключается в широком спектре возможностей ее применения. В перспективе рассматривается организация недели экономики в школе, в рамках которой процесс игры увеличится на несколько годов производства, тогда ежедневная сессия будет является одним экономическим годом. Следовательно, в течение экономической недели удастся провести 5 экономических лет, что позволит погрузить обучающихся в экономическую деятельность и лучше понять как происходят данные процессы на международном уровне. Также данная разработка удобна в ее модификации, процесс усложнения или упрощения в зависимости от возраста обучающихся и целей использования достаточно прост. Применение игры возможно в рамках урока обществознания по разделу «Экономика», во внеурочной деятельности в классе с соответствующим профилем. </w:t>
      </w:r>
      <w:r>
        <w:rPr>
          <w:rFonts w:ascii="Times New Roman" w:hAnsi="Times New Roman"/>
          <w:sz w:val="28"/>
        </w:rPr>
        <w:t>Использование данной технологии возможно и с обучающимися 5-6 классов при снабжении ее теоретическим материалом с основными понятиями экономической деятельности (доходы,расходы, цикл производства, прибыль и т.п.).</w:t>
      </w:r>
    </w:p>
    <w:p w14:paraId="9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Трансляции опыта реализации педагогической практики: </w:t>
      </w:r>
      <w:r>
        <w:rPr>
          <w:rFonts w:ascii="Times New Roman" w:hAnsi="Times New Roman"/>
          <w:b w:val="0"/>
          <w:sz w:val="28"/>
        </w:rPr>
        <w:t xml:space="preserve">реализация данной практики была осуществлена </w:t>
      </w:r>
      <w:r>
        <w:rPr>
          <w:rFonts w:ascii="Times New Roman" w:hAnsi="Times New Roman"/>
          <w:sz w:val="28"/>
        </w:rPr>
        <w:t>в рамках урока обществознания для закрепления материала по разделу «Экономика»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"https://sch2072v.mskobr.ru/novosti"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https://sch2072v.mskobr.ru/novosti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.</w:t>
      </w:r>
    </w:p>
    <w:p w14:paraId="95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96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98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200" w:before="0" w:line="276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Subtle Emphasis"/>
    <w:link w:val="Style_5_ch"/>
    <w:rPr>
      <w:i w:val="1"/>
    </w:rPr>
  </w:style>
  <w:style w:styleId="Style_5_ch" w:type="character">
    <w:name w:val="Subtle Emphasis"/>
    <w:link w:val="Style_5"/>
    <w:rPr>
      <w:i w:val="1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spacing w:after="0"/>
      <w:ind/>
      <w:jc w:val="left"/>
      <w:outlineLvl w:val="6"/>
    </w:pPr>
    <w:rPr>
      <w:b w:val="1"/>
      <w:smallCaps w:val="1"/>
      <w:color w:themeColor="accent6" w:val="70AD47"/>
      <w:spacing w:val="10"/>
    </w:rPr>
  </w:style>
  <w:style w:styleId="Style_8_ch" w:type="character">
    <w:name w:val="heading 7"/>
    <w:basedOn w:val="Style_2_ch"/>
    <w:link w:val="Style_8"/>
    <w:rPr>
      <w:b w:val="1"/>
      <w:smallCaps w:val="1"/>
      <w:color w:themeColor="accent6" w:val="70AD47"/>
      <w:spacing w:val="10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0"/>
      <w:ind/>
      <w:jc w:val="left"/>
      <w:outlineLvl w:val="2"/>
    </w:pPr>
    <w:rPr>
      <w:smallCaps w:val="1"/>
      <w:spacing w:val="5"/>
      <w:sz w:val="24"/>
    </w:rPr>
  </w:style>
  <w:style w:styleId="Style_11_ch" w:type="character">
    <w:name w:val="heading 3"/>
    <w:basedOn w:val="Style_2_ch"/>
    <w:link w:val="Style_11"/>
    <w:rPr>
      <w:smallCaps w:val="1"/>
      <w:spacing w:val="5"/>
      <w:sz w:val="24"/>
    </w:rPr>
  </w:style>
  <w:style w:styleId="Style_12" w:type="paragraph">
    <w:name w:val="Quote"/>
    <w:basedOn w:val="Style_2"/>
    <w:next w:val="Style_2"/>
    <w:link w:val="Style_12_ch"/>
    <w:rPr>
      <w:i w:val="1"/>
    </w:rPr>
  </w:style>
  <w:style w:styleId="Style_12_ch" w:type="character">
    <w:name w:val="Quote"/>
    <w:basedOn w:val="Style_2_ch"/>
    <w:link w:val="Style_12"/>
    <w:rPr>
      <w:i w:val="1"/>
    </w:rPr>
  </w:style>
  <w:style w:styleId="Style_13" w:type="paragraph">
    <w:name w:val="Intense Emphasis"/>
    <w:link w:val="Style_13_ch"/>
    <w:rPr>
      <w:b w:val="1"/>
      <w:i w:val="1"/>
      <w:color w:themeColor="accent6" w:val="70AD47"/>
      <w:spacing w:val="10"/>
    </w:rPr>
  </w:style>
  <w:style w:styleId="Style_13_ch" w:type="character">
    <w:name w:val="Intense Emphasis"/>
    <w:link w:val="Style_13"/>
    <w:rPr>
      <w:b w:val="1"/>
      <w:i w:val="1"/>
      <w:color w:themeColor="accent6" w:val="70AD47"/>
      <w:spacing w:val="10"/>
    </w:rPr>
  </w:style>
  <w:style w:styleId="Style_14" w:type="paragraph">
    <w:name w:val="heading 9"/>
    <w:basedOn w:val="Style_2"/>
    <w:next w:val="Style_2"/>
    <w:link w:val="Style_14_ch"/>
    <w:uiPriority w:val="9"/>
    <w:qFormat/>
    <w:pPr>
      <w:spacing w:after="0"/>
      <w:ind/>
      <w:jc w:val="left"/>
      <w:outlineLvl w:val="8"/>
    </w:pPr>
    <w:rPr>
      <w:b w:val="1"/>
      <w:i w:val="1"/>
      <w:smallCaps w:val="1"/>
      <w:color w:themeColor="accent6" w:themeShade="80" w:val="385623"/>
    </w:rPr>
  </w:style>
  <w:style w:styleId="Style_14_ch" w:type="character">
    <w:name w:val="heading 9"/>
    <w:basedOn w:val="Style_2_ch"/>
    <w:link w:val="Style_14"/>
    <w:rPr>
      <w:b w:val="1"/>
      <w:i w:val="1"/>
      <w:smallCaps w:val="1"/>
      <w:color w:themeColor="accent6" w:themeShade="80" w:val="385623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Intense Quote"/>
    <w:basedOn w:val="Style_2"/>
    <w:next w:val="Style_2"/>
    <w:link w:val="Style_16_ch"/>
    <w:pPr>
      <w:spacing w:after="140" w:before="140"/>
      <w:ind w:firstLine="0" w:left="1440" w:right="1440"/>
    </w:pPr>
    <w:rPr>
      <w:b w:val="1"/>
      <w:i w:val="1"/>
    </w:rPr>
  </w:style>
  <w:style w:styleId="Style_16_ch" w:type="character">
    <w:name w:val="Intense Quote"/>
    <w:basedOn w:val="Style_2_ch"/>
    <w:link w:val="Style_16"/>
    <w:rPr>
      <w:b w:val="1"/>
      <w:i w:val="1"/>
    </w:rPr>
  </w:style>
  <w:style w:styleId="Style_17" w:type="paragraph">
    <w:name w:val="Book Title"/>
    <w:link w:val="Style_17_ch"/>
    <w:rPr>
      <w:rFonts w:asciiTheme="majorAscii" w:hAnsiTheme="majorHAnsi"/>
      <w:i w:val="1"/>
      <w:sz w:val="20"/>
    </w:rPr>
  </w:style>
  <w:style w:styleId="Style_17_ch" w:type="character">
    <w:name w:val="Book Title"/>
    <w:link w:val="Style_17"/>
    <w:rPr>
      <w:rFonts w:asciiTheme="majorAscii" w:hAnsiTheme="majorHAnsi"/>
      <w:i w:val="1"/>
      <w:sz w:val="20"/>
    </w:rPr>
  </w:style>
  <w:style w:styleId="Style_18" w:type="paragraph">
    <w:name w:val="Emphasis"/>
    <w:link w:val="Style_18_ch"/>
    <w:rPr>
      <w:b w:val="1"/>
      <w:i w:val="1"/>
      <w:spacing w:val="10"/>
    </w:rPr>
  </w:style>
  <w:style w:styleId="Style_18_ch" w:type="character">
    <w:name w:val="Emphasis"/>
    <w:link w:val="Style_18"/>
    <w:rPr>
      <w:b w:val="1"/>
      <w:i w:val="1"/>
      <w:spacing w:val="10"/>
    </w:rPr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0"/>
      <w:ind/>
      <w:jc w:val="left"/>
      <w:outlineLvl w:val="4"/>
    </w:pPr>
    <w:rPr>
      <w:smallCaps w:val="1"/>
      <w:color w:themeColor="accent6" w:themeShade="BF" w:val="538135"/>
      <w:spacing w:val="10"/>
      <w:sz w:val="22"/>
    </w:rPr>
  </w:style>
  <w:style w:styleId="Style_19_ch" w:type="character">
    <w:name w:val="heading 5"/>
    <w:basedOn w:val="Style_2_ch"/>
    <w:link w:val="Style_19"/>
    <w:rPr>
      <w:smallCaps w:val="1"/>
      <w:color w:themeColor="accent6" w:themeShade="BF" w:val="538135"/>
      <w:spacing w:val="10"/>
      <w:sz w:val="22"/>
    </w:rPr>
  </w:style>
  <w:style w:styleId="Style_20" w:type="paragraph">
    <w:name w:val="Intense Reference"/>
    <w:link w:val="Style_20_ch"/>
    <w:rPr>
      <w:b w:val="1"/>
      <w:smallCaps w:val="1"/>
      <w:spacing w:val="5"/>
      <w:sz w:val="22"/>
      <w:u w:val="single"/>
    </w:rPr>
  </w:style>
  <w:style w:styleId="Style_20_ch" w:type="character">
    <w:name w:val="Intense Reference"/>
    <w:link w:val="Style_20"/>
    <w:rPr>
      <w:b w:val="1"/>
      <w:smallCaps w:val="1"/>
      <w:spacing w:val="5"/>
      <w:sz w:val="22"/>
      <w:u w:val="single"/>
    </w:rPr>
  </w:style>
  <w:style w:styleId="Style_21" w:type="paragraph">
    <w:name w:val="heading 1"/>
    <w:basedOn w:val="Style_2"/>
    <w:next w:val="Style_2"/>
    <w:link w:val="Style_21_ch"/>
    <w:uiPriority w:val="9"/>
    <w:qFormat/>
    <w:pPr>
      <w:spacing w:after="40" w:before="300"/>
      <w:ind/>
      <w:jc w:val="left"/>
      <w:outlineLvl w:val="0"/>
    </w:pPr>
    <w:rPr>
      <w:smallCaps w:val="1"/>
      <w:spacing w:val="5"/>
      <w:sz w:val="32"/>
    </w:rPr>
  </w:style>
  <w:style w:styleId="Style_21_ch" w:type="character">
    <w:name w:val="heading 1"/>
    <w:basedOn w:val="Style_2_ch"/>
    <w:link w:val="Style_21"/>
    <w:rPr>
      <w:smallCaps w:val="1"/>
      <w:spacing w:val="5"/>
      <w:sz w:val="32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2"/>
    <w:next w:val="Style_2"/>
    <w:link w:val="Style_24_ch"/>
    <w:uiPriority w:val="9"/>
    <w:qFormat/>
    <w:pPr>
      <w:spacing w:after="0"/>
      <w:ind/>
      <w:jc w:val="left"/>
      <w:outlineLvl w:val="7"/>
    </w:pPr>
    <w:rPr>
      <w:b w:val="1"/>
      <w:i w:val="1"/>
      <w:smallCaps w:val="1"/>
      <w:color w:themeColor="accent6" w:themeShade="BF" w:val="538135"/>
    </w:rPr>
  </w:style>
  <w:style w:styleId="Style_24_ch" w:type="character">
    <w:name w:val="heading 8"/>
    <w:basedOn w:val="Style_2_ch"/>
    <w:link w:val="Style_24"/>
    <w:rPr>
      <w:b w:val="1"/>
      <w:i w:val="1"/>
      <w:smallCaps w:val="1"/>
      <w:color w:themeColor="accent6" w:themeShade="BF" w:val="538135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Strong"/>
    <w:link w:val="Style_28_ch"/>
    <w:rPr>
      <w:b w:val="1"/>
      <w:color w:themeColor="accent6" w:val="70AD47"/>
    </w:rPr>
  </w:style>
  <w:style w:styleId="Style_28_ch" w:type="character">
    <w:name w:val="Strong"/>
    <w:link w:val="Style_28"/>
    <w:rPr>
      <w:b w:val="1"/>
      <w:color w:themeColor="accent6" w:val="70AD47"/>
    </w:rPr>
  </w:style>
  <w:style w:styleId="Style_29" w:type="paragraph">
    <w:name w:val="caption"/>
    <w:basedOn w:val="Style_2"/>
    <w:next w:val="Style_2"/>
    <w:link w:val="Style_29_ch"/>
    <w:rPr>
      <w:b w:val="1"/>
      <w:caps w:val="1"/>
      <w:sz w:val="16"/>
    </w:rPr>
  </w:style>
  <w:style w:styleId="Style_29_ch" w:type="character">
    <w:name w:val="caption"/>
    <w:basedOn w:val="Style_2_ch"/>
    <w:link w:val="Style_29"/>
    <w:rPr>
      <w:b w:val="1"/>
      <w:caps w:val="1"/>
      <w:sz w:val="16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TOC Heading"/>
    <w:basedOn w:val="Style_21"/>
    <w:next w:val="Style_2"/>
    <w:link w:val="Style_33_ch"/>
    <w:pPr>
      <w:ind/>
      <w:outlineLvl w:val="8"/>
    </w:pPr>
  </w:style>
  <w:style w:styleId="Style_33_ch" w:type="character">
    <w:name w:val="TOC Heading"/>
    <w:basedOn w:val="Style_21_ch"/>
    <w:link w:val="Style_33"/>
  </w:style>
  <w:style w:styleId="Style_34" w:type="paragraph">
    <w:name w:val="Subtitle"/>
    <w:basedOn w:val="Style_2"/>
    <w:next w:val="Style_2"/>
    <w:link w:val="Style_34_ch"/>
    <w:uiPriority w:val="11"/>
    <w:qFormat/>
    <w:pPr>
      <w:spacing w:after="720" w:line="240" w:lineRule="auto"/>
      <w:ind/>
      <w:jc w:val="right"/>
    </w:pPr>
    <w:rPr>
      <w:rFonts w:asciiTheme="majorAscii" w:hAnsiTheme="majorHAnsi"/>
    </w:rPr>
  </w:style>
  <w:style w:styleId="Style_34_ch" w:type="character">
    <w:name w:val="Subtitle"/>
    <w:basedOn w:val="Style_2_ch"/>
    <w:link w:val="Style_34"/>
    <w:rPr>
      <w:rFonts w:asciiTheme="majorAscii" w:hAnsiTheme="majorHAnsi"/>
    </w:rPr>
  </w:style>
  <w:style w:styleId="Style_35" w:type="paragraph">
    <w:name w:val="toc 10"/>
    <w:next w:val="Style_2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basedOn w:val="Style_2"/>
    <w:next w:val="Style_2"/>
    <w:link w:val="Style_36_ch"/>
    <w:uiPriority w:val="10"/>
    <w:qFormat/>
    <w:pPr>
      <w:spacing w:after="120" w:line="240" w:lineRule="auto"/>
      <w:ind/>
      <w:jc w:val="right"/>
    </w:pPr>
    <w:rPr>
      <w:smallCaps w:val="1"/>
      <w:color w:themeColor="text1" w:themeTint="D9" w:val="262626"/>
      <w:sz w:val="52"/>
    </w:rPr>
  </w:style>
  <w:style w:styleId="Style_36_ch" w:type="character">
    <w:name w:val="Title"/>
    <w:basedOn w:val="Style_2_ch"/>
    <w:link w:val="Style_36"/>
    <w:rPr>
      <w:smallCaps w:val="1"/>
      <w:color w:themeColor="text1" w:themeTint="D9" w:val="262626"/>
      <w:sz w:val="52"/>
    </w:rPr>
  </w:style>
  <w:style w:styleId="Style_37" w:type="paragraph">
    <w:name w:val="heading 4"/>
    <w:basedOn w:val="Style_2"/>
    <w:next w:val="Style_2"/>
    <w:link w:val="Style_37_ch"/>
    <w:uiPriority w:val="9"/>
    <w:qFormat/>
    <w:pPr>
      <w:spacing w:after="0"/>
      <w:ind/>
      <w:jc w:val="left"/>
      <w:outlineLvl w:val="3"/>
    </w:pPr>
    <w:rPr>
      <w:i w:val="1"/>
      <w:smallCaps w:val="1"/>
      <w:spacing w:val="10"/>
      <w:sz w:val="22"/>
    </w:rPr>
  </w:style>
  <w:style w:styleId="Style_37_ch" w:type="character">
    <w:name w:val="heading 4"/>
    <w:basedOn w:val="Style_2_ch"/>
    <w:link w:val="Style_37"/>
    <w:rPr>
      <w:i w:val="1"/>
      <w:smallCaps w:val="1"/>
      <w:spacing w:val="10"/>
      <w:sz w:val="22"/>
    </w:rPr>
  </w:style>
  <w:style w:styleId="Style_38" w:type="paragraph">
    <w:name w:val="Subtle Reference"/>
    <w:link w:val="Style_38_ch"/>
    <w:rPr>
      <w:b w:val="1"/>
    </w:rPr>
  </w:style>
  <w:style w:styleId="Style_38_ch" w:type="character">
    <w:name w:val="Subtle Reference"/>
    <w:link w:val="Style_38"/>
    <w:rPr>
      <w:b w:val="1"/>
    </w:rPr>
  </w:style>
  <w:style w:styleId="Style_39" w:type="paragraph">
    <w:name w:val="heading 2"/>
    <w:basedOn w:val="Style_2"/>
    <w:next w:val="Style_2"/>
    <w:link w:val="Style_39_ch"/>
    <w:uiPriority w:val="9"/>
    <w:qFormat/>
    <w:pPr>
      <w:spacing w:after="0"/>
      <w:ind/>
      <w:jc w:val="left"/>
      <w:outlineLvl w:val="1"/>
    </w:pPr>
    <w:rPr>
      <w:smallCaps w:val="1"/>
      <w:spacing w:val="5"/>
      <w:sz w:val="28"/>
    </w:rPr>
  </w:style>
  <w:style w:styleId="Style_39_ch" w:type="character">
    <w:name w:val="heading 2"/>
    <w:basedOn w:val="Style_2_ch"/>
    <w:link w:val="Style_39"/>
    <w:rPr>
      <w:smallCaps w:val="1"/>
      <w:spacing w:val="5"/>
      <w:sz w:val="28"/>
    </w:rPr>
  </w:style>
  <w:style w:styleId="Style_40" w:type="paragraph">
    <w:name w:val="heading 6"/>
    <w:basedOn w:val="Style_2"/>
    <w:next w:val="Style_2"/>
    <w:link w:val="Style_40_ch"/>
    <w:uiPriority w:val="9"/>
    <w:qFormat/>
    <w:pPr>
      <w:spacing w:after="0"/>
      <w:ind/>
      <w:jc w:val="left"/>
      <w:outlineLvl w:val="5"/>
    </w:pPr>
    <w:rPr>
      <w:smallCaps w:val="1"/>
      <w:color w:themeColor="accent6" w:val="70AD47"/>
      <w:spacing w:val="5"/>
      <w:sz w:val="22"/>
    </w:rPr>
  </w:style>
  <w:style w:styleId="Style_40_ch" w:type="character">
    <w:name w:val="heading 6"/>
    <w:basedOn w:val="Style_2_ch"/>
    <w:link w:val="Style_40"/>
    <w:rPr>
      <w:smallCaps w:val="1"/>
      <w:color w:themeColor="accent6" w:val="70AD47"/>
      <w:spacing w:val="5"/>
      <w:sz w:val="22"/>
    </w:rPr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MyOffice-CoreFramework-macOS/24-959.572.6199.597.1@RELEASE-DESKTOP-VANILLA_HOME-RC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2023-01-15T01:16:52Z</dcterms:modified>
</cp:coreProperties>
</file>